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EAD" w:rsidRDefault="0095330F" w:rsidP="0095330F">
      <w:pPr>
        <w:jc w:val="right"/>
      </w:pPr>
      <w:r>
        <w:t>Exm</w:t>
      </w:r>
      <w:r w:rsidR="001832EB">
        <w:t>o.(a)</w:t>
      </w:r>
      <w:r>
        <w:t xml:space="preserve"> Senhor</w:t>
      </w:r>
      <w:r w:rsidR="001832EB">
        <w:t>(a)</w:t>
      </w:r>
      <w:r>
        <w:t xml:space="preserve"> </w:t>
      </w:r>
      <w:r w:rsidR="001832EB">
        <w:t>Secretário(a) de Justiça</w:t>
      </w:r>
    </w:p>
    <w:p w:rsidR="001832EB" w:rsidRDefault="001832EB" w:rsidP="0095330F">
      <w:pPr>
        <w:jc w:val="right"/>
      </w:pPr>
      <w:r>
        <w:t>___________________</w:t>
      </w:r>
      <w:r w:rsidR="00EC3F18">
        <w:t>_</w:t>
      </w:r>
      <w:r>
        <w:t>_</w:t>
      </w:r>
      <w:r w:rsidR="00EC3F18">
        <w:t>_</w:t>
      </w:r>
      <w:r>
        <w:t>________</w:t>
      </w:r>
      <w:r w:rsidR="00EC3F18">
        <w:t>(local)</w:t>
      </w:r>
    </w:p>
    <w:p w:rsidR="0095330F" w:rsidRDefault="0095330F" w:rsidP="0095330F">
      <w:pPr>
        <w:spacing w:line="480" w:lineRule="auto"/>
        <w:jc w:val="both"/>
        <w:rPr>
          <w:rFonts w:ascii="Verdana" w:hAnsi="Verdana"/>
          <w:sz w:val="20"/>
        </w:rPr>
      </w:pPr>
    </w:p>
    <w:p w:rsidR="005A6DD2" w:rsidRPr="005A6DD2" w:rsidRDefault="0095330F" w:rsidP="005D49C2">
      <w:pPr>
        <w:spacing w:line="480" w:lineRule="auto"/>
        <w:jc w:val="both"/>
        <w:rPr>
          <w:rFonts w:ascii="Verdana" w:hAnsi="Verdana"/>
          <w:sz w:val="20"/>
          <w:szCs w:val="20"/>
        </w:rPr>
      </w:pPr>
      <w:r w:rsidRPr="00F13B2B">
        <w:rPr>
          <w:rFonts w:ascii="Verdana" w:hAnsi="Verdana"/>
          <w:sz w:val="20"/>
        </w:rPr>
        <w:t>__________________________</w:t>
      </w:r>
      <w:r>
        <w:rPr>
          <w:rFonts w:ascii="Verdana" w:hAnsi="Verdana"/>
          <w:sz w:val="20"/>
        </w:rPr>
        <w:t>_______</w:t>
      </w:r>
      <w:r w:rsidRPr="00F13B2B">
        <w:rPr>
          <w:rFonts w:ascii="Verdana" w:hAnsi="Verdana"/>
          <w:sz w:val="20"/>
        </w:rPr>
        <w:t>___</w:t>
      </w:r>
      <w:r>
        <w:rPr>
          <w:rFonts w:ascii="Verdana" w:hAnsi="Verdana"/>
          <w:sz w:val="20"/>
        </w:rPr>
        <w:t>_____________________</w:t>
      </w:r>
      <w:r w:rsidRPr="00F13B2B">
        <w:rPr>
          <w:rFonts w:ascii="Verdana" w:hAnsi="Verdana"/>
          <w:sz w:val="20"/>
        </w:rPr>
        <w:t xml:space="preserve">___(nome), ____________________ (categoria profissional) n.º mecanográfico ____________, </w:t>
      </w:r>
      <w:r>
        <w:rPr>
          <w:rFonts w:ascii="Verdana" w:hAnsi="Verdana"/>
          <w:sz w:val="20"/>
        </w:rPr>
        <w:t xml:space="preserve">com o contacto – n.º ________________, </w:t>
      </w:r>
      <w:r w:rsidRPr="00F13B2B">
        <w:rPr>
          <w:rFonts w:ascii="Verdana" w:hAnsi="Verdana"/>
          <w:sz w:val="20"/>
        </w:rPr>
        <w:t>a exercer funções no Núcleo de ____________</w:t>
      </w:r>
      <w:r>
        <w:rPr>
          <w:rFonts w:ascii="Verdana" w:hAnsi="Verdana"/>
          <w:sz w:val="20"/>
        </w:rPr>
        <w:t>____________</w:t>
      </w:r>
      <w:r w:rsidRPr="00F13B2B">
        <w:rPr>
          <w:rFonts w:ascii="Verdana" w:hAnsi="Verdana"/>
          <w:sz w:val="20"/>
        </w:rPr>
        <w:t>_____________</w:t>
      </w:r>
      <w:r>
        <w:rPr>
          <w:rFonts w:ascii="Verdana" w:hAnsi="Verdana"/>
          <w:sz w:val="20"/>
        </w:rPr>
        <w:t>_____________________________</w:t>
      </w:r>
      <w:r w:rsidRPr="00F13B2B">
        <w:rPr>
          <w:rFonts w:ascii="Verdana" w:hAnsi="Verdana"/>
          <w:sz w:val="20"/>
        </w:rPr>
        <w:t xml:space="preserve"> vem</w:t>
      </w:r>
      <w:r w:rsidR="00115CA7">
        <w:rPr>
          <w:rFonts w:ascii="Verdana" w:hAnsi="Verdana"/>
          <w:sz w:val="20"/>
        </w:rPr>
        <w:t xml:space="preserve"> requerer a </w:t>
      </w:r>
      <w:proofErr w:type="spellStart"/>
      <w:r w:rsidR="00115CA7">
        <w:rPr>
          <w:rFonts w:ascii="Verdana" w:hAnsi="Verdana"/>
          <w:sz w:val="20"/>
        </w:rPr>
        <w:t>V.Exa.</w:t>
      </w:r>
      <w:proofErr w:type="spellEnd"/>
      <w:r w:rsidR="00115CA7">
        <w:rPr>
          <w:rFonts w:ascii="Verdana" w:hAnsi="Verdana"/>
          <w:sz w:val="20"/>
        </w:rPr>
        <w:t xml:space="preserve"> que seja efetuado</w:t>
      </w:r>
      <w:r w:rsidR="00377F04">
        <w:rPr>
          <w:rFonts w:ascii="Verdana" w:hAnsi="Verdana"/>
          <w:sz w:val="20"/>
        </w:rPr>
        <w:t xml:space="preserve"> o processamento e</w:t>
      </w:r>
      <w:r w:rsidR="00115CA7">
        <w:rPr>
          <w:rFonts w:ascii="Verdana" w:hAnsi="Verdana"/>
          <w:sz w:val="20"/>
        </w:rPr>
        <w:t xml:space="preserve"> o pagamento do </w:t>
      </w:r>
      <w:r w:rsidR="00115CA7" w:rsidRPr="005D49C2">
        <w:rPr>
          <w:rFonts w:ascii="Verdana" w:hAnsi="Verdana"/>
          <w:b/>
          <w:sz w:val="20"/>
        </w:rPr>
        <w:t>dia</w:t>
      </w:r>
      <w:r w:rsidR="005D49C2" w:rsidRPr="005D49C2">
        <w:rPr>
          <w:rFonts w:ascii="Verdana" w:hAnsi="Verdana"/>
          <w:b/>
          <w:sz w:val="20"/>
        </w:rPr>
        <w:t xml:space="preserve"> </w:t>
      </w:r>
      <w:r w:rsidR="00FB26C0">
        <w:rPr>
          <w:rFonts w:ascii="Verdana" w:hAnsi="Verdana"/>
          <w:b/>
          <w:sz w:val="20"/>
        </w:rPr>
        <w:t>31</w:t>
      </w:r>
      <w:r w:rsidR="005D49C2" w:rsidRPr="005D49C2">
        <w:rPr>
          <w:rFonts w:ascii="Verdana" w:hAnsi="Verdana"/>
          <w:b/>
          <w:sz w:val="20"/>
        </w:rPr>
        <w:t xml:space="preserve"> de dezembro de 2021</w:t>
      </w:r>
      <w:r w:rsidR="00FF5571">
        <w:rPr>
          <w:rFonts w:ascii="Verdana" w:hAnsi="Verdana"/>
          <w:sz w:val="20"/>
        </w:rPr>
        <w:t>,</w:t>
      </w:r>
      <w:r w:rsidR="00115CA7">
        <w:rPr>
          <w:rFonts w:ascii="Verdana" w:hAnsi="Verdana"/>
          <w:sz w:val="20"/>
        </w:rPr>
        <w:t xml:space="preserve"> em que </w:t>
      </w:r>
      <w:r w:rsidR="00FF5571">
        <w:rPr>
          <w:rFonts w:ascii="Verdana" w:hAnsi="Verdana"/>
          <w:sz w:val="20"/>
        </w:rPr>
        <w:t>es</w:t>
      </w:r>
      <w:r w:rsidR="00115CA7">
        <w:rPr>
          <w:rFonts w:ascii="Verdana" w:hAnsi="Verdana"/>
          <w:sz w:val="20"/>
        </w:rPr>
        <w:t>teve a trabalhar</w:t>
      </w:r>
      <w:r w:rsidR="005A6DD2">
        <w:rPr>
          <w:rFonts w:ascii="Verdana" w:hAnsi="Verdana"/>
          <w:sz w:val="20"/>
        </w:rPr>
        <w:t>,</w:t>
      </w:r>
      <w:r w:rsidR="00115CA7">
        <w:rPr>
          <w:rFonts w:ascii="Verdana" w:hAnsi="Verdana"/>
          <w:sz w:val="20"/>
        </w:rPr>
        <w:t xml:space="preserve"> por imposição do serviço, </w:t>
      </w:r>
      <w:r w:rsidRPr="00F13B2B">
        <w:rPr>
          <w:rFonts w:ascii="Verdana" w:eastAsia="Times New Roman" w:hAnsi="Verdana" w:cs="Arial"/>
          <w:kern w:val="36"/>
          <w:sz w:val="20"/>
          <w:lang w:eastAsia="pt-PT"/>
        </w:rPr>
        <w:t>nos termos e com os seguintes fundamentos:</w:t>
      </w:r>
    </w:p>
    <w:p w:rsidR="005A6DD2" w:rsidRDefault="005A6DD2" w:rsidP="005A6DD2">
      <w:pPr>
        <w:pStyle w:val="PargrafodaLista"/>
        <w:numPr>
          <w:ilvl w:val="0"/>
          <w:numId w:val="2"/>
        </w:numPr>
        <w:shd w:val="clear" w:color="auto" w:fill="FFFFFF"/>
        <w:spacing w:after="100" w:afterAutospacing="1" w:line="360" w:lineRule="auto"/>
        <w:jc w:val="both"/>
        <w:rPr>
          <w:rFonts w:ascii="Verdana" w:eastAsia="Times New Roman" w:hAnsi="Verdana" w:cs="Segoe UI"/>
          <w:sz w:val="20"/>
          <w:szCs w:val="20"/>
          <w:lang w:eastAsia="pt-PT"/>
        </w:rPr>
      </w:pPr>
      <w:r w:rsidRPr="005A6DD2">
        <w:rPr>
          <w:rFonts w:ascii="Verdana" w:eastAsia="Times New Roman" w:hAnsi="Verdana" w:cs="Segoe UI"/>
          <w:sz w:val="20"/>
          <w:szCs w:val="20"/>
          <w:lang w:eastAsia="pt-PT"/>
        </w:rPr>
        <w:t>Conforme resulta do </w:t>
      </w:r>
      <w:hyperlink r:id="rId5" w:tgtFrame="_blank" w:tooltip="Tolerância de Ponto nos dias 24 e 31 de Dezembro" w:history="1">
        <w:r w:rsidRPr="00FF5571">
          <w:rPr>
            <w:rFonts w:ascii="Verdana" w:eastAsia="Times New Roman" w:hAnsi="Verdana" w:cs="Segoe UI"/>
            <w:sz w:val="20"/>
            <w:szCs w:val="20"/>
            <w:u w:val="single"/>
            <w:lang w:eastAsia="pt-PT"/>
          </w:rPr>
          <w:t>Despacho n.º 12564-A/2021</w:t>
        </w:r>
      </w:hyperlink>
      <w:r w:rsidRPr="005A6DD2">
        <w:rPr>
          <w:rFonts w:ascii="Verdana" w:eastAsia="Times New Roman" w:hAnsi="Verdana" w:cs="Segoe UI"/>
          <w:sz w:val="20"/>
          <w:szCs w:val="20"/>
          <w:lang w:eastAsia="pt-PT"/>
        </w:rPr>
        <w:t xml:space="preserve">, publicado no Diário da República, 2.ª série, n.º 247 (suplemento), de 23 de dezembro de 2021, é concedida tolerância de ponto aos trabalhadores que exercem funções públicas nos serviços da administração direta do Estado, sejam eles centrais ou desconcentrados, e nos institutos públicos nos dias </w:t>
      </w:r>
      <w:r w:rsidRPr="00276C41">
        <w:rPr>
          <w:rFonts w:ascii="Verdana" w:eastAsia="Times New Roman" w:hAnsi="Verdana" w:cs="Segoe UI"/>
          <w:sz w:val="20"/>
          <w:szCs w:val="20"/>
          <w:lang w:eastAsia="pt-PT"/>
        </w:rPr>
        <w:t>24</w:t>
      </w:r>
      <w:r w:rsidRPr="005A6DD2">
        <w:rPr>
          <w:rFonts w:ascii="Verdana" w:eastAsia="Times New Roman" w:hAnsi="Verdana" w:cs="Segoe UI"/>
          <w:sz w:val="20"/>
          <w:szCs w:val="20"/>
          <w:lang w:eastAsia="pt-PT"/>
        </w:rPr>
        <w:t xml:space="preserve"> e </w:t>
      </w:r>
      <w:r w:rsidRPr="00276C41">
        <w:rPr>
          <w:rFonts w:ascii="Verdana" w:eastAsia="Times New Roman" w:hAnsi="Verdana" w:cs="Segoe UI"/>
          <w:b/>
          <w:sz w:val="20"/>
          <w:szCs w:val="20"/>
          <w:lang w:eastAsia="pt-PT"/>
        </w:rPr>
        <w:t>31 de dezembro</w:t>
      </w:r>
      <w:r>
        <w:rPr>
          <w:rFonts w:ascii="Verdana" w:eastAsia="Times New Roman" w:hAnsi="Verdana" w:cs="Segoe UI"/>
          <w:sz w:val="20"/>
          <w:szCs w:val="20"/>
          <w:lang w:eastAsia="pt-PT"/>
        </w:rPr>
        <w:t xml:space="preserve"> – n.º 1;</w:t>
      </w:r>
    </w:p>
    <w:p w:rsidR="005A6DD2" w:rsidRPr="005A6DD2" w:rsidRDefault="005A6DD2" w:rsidP="005A6DD2">
      <w:pPr>
        <w:pStyle w:val="PargrafodaLista"/>
        <w:numPr>
          <w:ilvl w:val="0"/>
          <w:numId w:val="2"/>
        </w:numPr>
        <w:shd w:val="clear" w:color="auto" w:fill="FFFFFF"/>
        <w:spacing w:after="100" w:afterAutospacing="1" w:line="360" w:lineRule="auto"/>
        <w:jc w:val="both"/>
        <w:rPr>
          <w:rFonts w:ascii="Verdana" w:eastAsia="Times New Roman" w:hAnsi="Verdana" w:cs="Segoe UI"/>
          <w:sz w:val="20"/>
          <w:szCs w:val="20"/>
          <w:lang w:eastAsia="pt-PT"/>
        </w:rPr>
      </w:pPr>
      <w:r w:rsidRPr="005A6DD2">
        <w:rPr>
          <w:rFonts w:ascii="Verdana" w:eastAsia="Times New Roman" w:hAnsi="Verdana" w:cs="Segoe UI"/>
          <w:sz w:val="20"/>
          <w:szCs w:val="20"/>
          <w:lang w:eastAsia="pt-PT"/>
        </w:rPr>
        <w:t>Porém, havendo que garantir a continuidade e a qualidade do serviço a prestar, desde logo se salvaguardou, no correspondente n.º 2, a situação dos organismos que, por razões de interesse público, devam manter-se em funcionamento naquele período, em termos a definir pelo membro do Governo competente</w:t>
      </w:r>
      <w:r>
        <w:rPr>
          <w:rFonts w:ascii="Verdana" w:eastAsia="Times New Roman" w:hAnsi="Verdana" w:cs="Segoe UI"/>
          <w:sz w:val="20"/>
          <w:szCs w:val="20"/>
          <w:lang w:eastAsia="pt-PT"/>
        </w:rPr>
        <w:t>;</w:t>
      </w:r>
    </w:p>
    <w:p w:rsidR="00FF5571" w:rsidRPr="00FF5571" w:rsidRDefault="005A6DD2" w:rsidP="00B51A7D">
      <w:pPr>
        <w:pStyle w:val="PargrafodaLista"/>
        <w:numPr>
          <w:ilvl w:val="0"/>
          <w:numId w:val="2"/>
        </w:numPr>
        <w:shd w:val="clear" w:color="auto" w:fill="FFFFFF"/>
        <w:spacing w:after="100" w:afterAutospacing="1" w:line="360" w:lineRule="auto"/>
        <w:jc w:val="both"/>
        <w:rPr>
          <w:rFonts w:ascii="Verdana" w:eastAsia="Times New Roman" w:hAnsi="Verdana" w:cs="Segoe UI"/>
          <w:sz w:val="20"/>
          <w:szCs w:val="20"/>
          <w:lang w:eastAsia="pt-PT"/>
        </w:rPr>
      </w:pPr>
      <w:r w:rsidRPr="00FF5571">
        <w:rPr>
          <w:rFonts w:ascii="Verdana" w:eastAsia="Times New Roman" w:hAnsi="Verdana" w:cs="Segoe UI"/>
          <w:sz w:val="20"/>
          <w:szCs w:val="20"/>
          <w:lang w:eastAsia="pt-PT"/>
        </w:rPr>
        <w:t>E, nos termos do n.º 3, s</w:t>
      </w:r>
      <w:r w:rsidRPr="005A6DD2">
        <w:rPr>
          <w:rFonts w:ascii="Verdana" w:eastAsia="Times New Roman" w:hAnsi="Verdana" w:cs="Segoe UI"/>
          <w:color w:val="212529"/>
          <w:sz w:val="20"/>
          <w:szCs w:val="20"/>
          <w:lang w:eastAsia="pt-PT"/>
        </w:rPr>
        <w:t>em prejuízo da continuidade e da qualidade do serviço a prestar, os dirigentes máximos dos serviços e organismos referidos no número anterior devem promover a equivalente dispensa do dever de assiduidade dos respetivos trabalhadores em dia a fixar oportunamente</w:t>
      </w:r>
      <w:r w:rsidR="00FF5571">
        <w:rPr>
          <w:rFonts w:ascii="Verdana" w:eastAsia="Times New Roman" w:hAnsi="Verdana" w:cs="Segoe UI"/>
          <w:color w:val="212529"/>
          <w:sz w:val="20"/>
          <w:szCs w:val="20"/>
          <w:lang w:eastAsia="pt-PT"/>
        </w:rPr>
        <w:t>;</w:t>
      </w:r>
    </w:p>
    <w:p w:rsidR="00FF5571" w:rsidRDefault="00FF5571" w:rsidP="00B51A7D">
      <w:pPr>
        <w:pStyle w:val="PargrafodaLista"/>
        <w:numPr>
          <w:ilvl w:val="0"/>
          <w:numId w:val="2"/>
        </w:numPr>
        <w:shd w:val="clear" w:color="auto" w:fill="FFFFFF"/>
        <w:spacing w:after="100" w:afterAutospacing="1" w:line="360" w:lineRule="auto"/>
        <w:jc w:val="both"/>
        <w:rPr>
          <w:rFonts w:ascii="Verdana" w:eastAsia="Times New Roman" w:hAnsi="Verdana" w:cs="Segoe UI"/>
          <w:sz w:val="20"/>
          <w:szCs w:val="20"/>
          <w:lang w:eastAsia="pt-PT"/>
        </w:rPr>
      </w:pPr>
      <w:r>
        <w:rPr>
          <w:rFonts w:ascii="Verdana" w:eastAsia="Times New Roman" w:hAnsi="Verdana" w:cs="Segoe UI"/>
          <w:sz w:val="20"/>
          <w:szCs w:val="20"/>
          <w:lang w:eastAsia="pt-PT"/>
        </w:rPr>
        <w:t xml:space="preserve">Por sua vez, por </w:t>
      </w:r>
      <w:r w:rsidRPr="00FF5571">
        <w:rPr>
          <w:rFonts w:ascii="Verdana" w:eastAsia="Times New Roman" w:hAnsi="Verdana" w:cs="Segoe UI"/>
          <w:sz w:val="20"/>
          <w:szCs w:val="20"/>
          <w:u w:val="single"/>
          <w:lang w:eastAsia="pt-PT"/>
        </w:rPr>
        <w:t>Despacho do pretérito dia 2</w:t>
      </w:r>
      <w:r w:rsidR="007032B4">
        <w:rPr>
          <w:rFonts w:ascii="Verdana" w:eastAsia="Times New Roman" w:hAnsi="Verdana" w:cs="Segoe UI"/>
          <w:sz w:val="20"/>
          <w:szCs w:val="20"/>
          <w:u w:val="single"/>
          <w:lang w:eastAsia="pt-PT"/>
        </w:rPr>
        <w:t>8</w:t>
      </w:r>
      <w:r w:rsidRPr="00FF5571">
        <w:rPr>
          <w:rFonts w:ascii="Verdana" w:eastAsia="Times New Roman" w:hAnsi="Verdana" w:cs="Segoe UI"/>
          <w:sz w:val="20"/>
          <w:szCs w:val="20"/>
          <w:u w:val="single"/>
          <w:lang w:eastAsia="pt-PT"/>
        </w:rPr>
        <w:t xml:space="preserve"> de dezembro de 2021</w:t>
      </w:r>
      <w:r>
        <w:rPr>
          <w:rFonts w:ascii="Verdana" w:eastAsia="Times New Roman" w:hAnsi="Verdana" w:cs="Segoe UI"/>
          <w:sz w:val="20"/>
          <w:szCs w:val="20"/>
          <w:lang w:eastAsia="pt-PT"/>
        </w:rPr>
        <w:t xml:space="preserve">, da Exma. Senhora Ministra da Justiça e em comprimento do suprarreferido n.º 2 do Despacho n.º 12564-A/2021, foi determinado que deveria ser assegurado nos tribunais, no dia </w:t>
      </w:r>
      <w:r w:rsidR="00276C41" w:rsidRPr="00276C41">
        <w:rPr>
          <w:rFonts w:ascii="Verdana" w:eastAsia="Times New Roman" w:hAnsi="Verdana" w:cs="Segoe UI"/>
          <w:b/>
          <w:sz w:val="20"/>
          <w:szCs w:val="20"/>
          <w:lang w:eastAsia="pt-PT"/>
        </w:rPr>
        <w:t>31</w:t>
      </w:r>
      <w:r w:rsidRPr="00276C41">
        <w:rPr>
          <w:rFonts w:ascii="Verdana" w:eastAsia="Times New Roman" w:hAnsi="Verdana" w:cs="Segoe UI"/>
          <w:b/>
          <w:sz w:val="20"/>
          <w:szCs w:val="20"/>
          <w:lang w:eastAsia="pt-PT"/>
        </w:rPr>
        <w:t xml:space="preserve"> de dezembro de 2021</w:t>
      </w:r>
      <w:r w:rsidR="00276C41">
        <w:rPr>
          <w:rFonts w:ascii="Verdana" w:eastAsia="Times New Roman" w:hAnsi="Verdana" w:cs="Segoe UI"/>
          <w:sz w:val="20"/>
          <w:szCs w:val="20"/>
          <w:lang w:eastAsia="pt-PT"/>
        </w:rPr>
        <w:t>,</w:t>
      </w:r>
      <w:r>
        <w:rPr>
          <w:rFonts w:ascii="Verdana" w:eastAsia="Times New Roman" w:hAnsi="Verdana" w:cs="Segoe UI"/>
          <w:sz w:val="20"/>
          <w:szCs w:val="20"/>
          <w:lang w:eastAsia="pt-PT"/>
        </w:rPr>
        <w:t xml:space="preserve"> todo o serviço urgente a que se refere o n.º 2 do art.º 36.º da Lei n.º 62/2013, de 26 de agosto, nomeadamente na LOSJ, no CPP, na lei da cooperação judiciária internacional em matéria penal, na lei de saúde mental, na lei de proteção de crianças e jovens em perigo e no regime jurídico de entrada, permanência, saída e afastamento de estrangeiro do território nacional;</w:t>
      </w:r>
    </w:p>
    <w:p w:rsidR="007032B4" w:rsidRPr="00FF5571" w:rsidRDefault="007032B4" w:rsidP="00B51A7D">
      <w:pPr>
        <w:pStyle w:val="PargrafodaLista"/>
        <w:numPr>
          <w:ilvl w:val="0"/>
          <w:numId w:val="2"/>
        </w:numPr>
        <w:shd w:val="clear" w:color="auto" w:fill="FFFFFF"/>
        <w:spacing w:after="100" w:afterAutospacing="1" w:line="360" w:lineRule="auto"/>
        <w:jc w:val="both"/>
        <w:rPr>
          <w:rFonts w:ascii="Verdana" w:eastAsia="Times New Roman" w:hAnsi="Verdana" w:cs="Segoe UI"/>
          <w:sz w:val="20"/>
          <w:szCs w:val="20"/>
          <w:lang w:eastAsia="pt-PT"/>
        </w:rPr>
      </w:pPr>
      <w:r>
        <w:rPr>
          <w:rFonts w:ascii="Verdana" w:eastAsia="Times New Roman" w:hAnsi="Verdana" w:cs="Segoe UI"/>
          <w:sz w:val="20"/>
          <w:szCs w:val="20"/>
          <w:lang w:eastAsia="pt-PT"/>
        </w:rPr>
        <w:lastRenderedPageBreak/>
        <w:t>Igualmente, deve ser assegurada a prática de atos e operações materiais relacionadas com o processo eleitoral em curso;</w:t>
      </w:r>
    </w:p>
    <w:p w:rsidR="00FF5571" w:rsidRDefault="00FF5571" w:rsidP="005A6DD2">
      <w:pPr>
        <w:pStyle w:val="PargrafodaLista"/>
        <w:numPr>
          <w:ilvl w:val="0"/>
          <w:numId w:val="2"/>
        </w:numPr>
        <w:shd w:val="clear" w:color="auto" w:fill="FFFFFF"/>
        <w:spacing w:after="100" w:afterAutospacing="1" w:line="360" w:lineRule="auto"/>
        <w:jc w:val="both"/>
        <w:rPr>
          <w:rFonts w:ascii="Verdana" w:eastAsia="Times New Roman" w:hAnsi="Verdana" w:cs="Segoe UI"/>
          <w:sz w:val="20"/>
          <w:szCs w:val="20"/>
          <w:lang w:eastAsia="pt-PT"/>
        </w:rPr>
      </w:pPr>
      <w:r>
        <w:rPr>
          <w:rFonts w:ascii="Verdana" w:eastAsia="Times New Roman" w:hAnsi="Verdana" w:cs="Segoe UI"/>
          <w:sz w:val="20"/>
          <w:szCs w:val="20"/>
          <w:lang w:eastAsia="pt-PT"/>
        </w:rPr>
        <w:t>Em relação aos atos não abrangidos no item anterior, caberá aos respetivos magistrados decidirem sobre a sua realização;</w:t>
      </w:r>
    </w:p>
    <w:p w:rsidR="00FF5571" w:rsidRDefault="00FF5571" w:rsidP="005A6DD2">
      <w:pPr>
        <w:pStyle w:val="PargrafodaLista"/>
        <w:numPr>
          <w:ilvl w:val="0"/>
          <w:numId w:val="2"/>
        </w:numPr>
        <w:shd w:val="clear" w:color="auto" w:fill="FFFFFF"/>
        <w:spacing w:after="100" w:afterAutospacing="1" w:line="360" w:lineRule="auto"/>
        <w:jc w:val="both"/>
        <w:rPr>
          <w:rFonts w:ascii="Verdana" w:eastAsia="Times New Roman" w:hAnsi="Verdana" w:cs="Segoe UI"/>
          <w:sz w:val="20"/>
          <w:szCs w:val="20"/>
          <w:lang w:eastAsia="pt-PT"/>
        </w:rPr>
      </w:pPr>
      <w:r>
        <w:rPr>
          <w:rFonts w:ascii="Verdana" w:eastAsia="Times New Roman" w:hAnsi="Verdana" w:cs="Segoe UI"/>
          <w:sz w:val="20"/>
          <w:szCs w:val="20"/>
          <w:lang w:eastAsia="pt-PT"/>
        </w:rPr>
        <w:t>E, ainda, relativamente às entidades da administração direta do Estado, sejam elas centrais ou desconcentradas, e os institutos públicos, os respetivos dirigentes máximos estabelecem as orientações que entendam adequadas para assegurar</w:t>
      </w:r>
      <w:r w:rsidR="001829B3">
        <w:rPr>
          <w:rFonts w:ascii="Verdana" w:eastAsia="Times New Roman" w:hAnsi="Verdana" w:cs="Segoe UI"/>
          <w:sz w:val="20"/>
          <w:szCs w:val="20"/>
          <w:lang w:eastAsia="pt-PT"/>
        </w:rPr>
        <w:t xml:space="preserve"> os serviços permanentes e outros considerados indispensáveis, designadamente na Polícia </w:t>
      </w:r>
      <w:r w:rsidR="005D49C2">
        <w:rPr>
          <w:rFonts w:ascii="Verdana" w:eastAsia="Times New Roman" w:hAnsi="Verdana" w:cs="Segoe UI"/>
          <w:sz w:val="20"/>
          <w:szCs w:val="20"/>
          <w:lang w:eastAsia="pt-PT"/>
        </w:rPr>
        <w:t>Judiciária</w:t>
      </w:r>
      <w:r w:rsidR="001829B3">
        <w:rPr>
          <w:rFonts w:ascii="Verdana" w:eastAsia="Times New Roman" w:hAnsi="Verdana" w:cs="Segoe UI"/>
          <w:sz w:val="20"/>
          <w:szCs w:val="20"/>
          <w:lang w:eastAsia="pt-PT"/>
        </w:rPr>
        <w:t xml:space="preserve"> na Direção-Geral da Administração da Justiça, na Direção-Geral de Reinserção</w:t>
      </w:r>
      <w:r w:rsidR="00377F04">
        <w:rPr>
          <w:rFonts w:ascii="Verdana" w:eastAsia="Times New Roman" w:hAnsi="Verdana" w:cs="Segoe UI"/>
          <w:sz w:val="20"/>
          <w:szCs w:val="20"/>
          <w:lang w:eastAsia="pt-PT"/>
        </w:rPr>
        <w:t xml:space="preserve"> </w:t>
      </w:r>
      <w:r w:rsidR="001829B3">
        <w:rPr>
          <w:rFonts w:ascii="Verdana" w:eastAsia="Times New Roman" w:hAnsi="Verdana" w:cs="Segoe UI"/>
          <w:sz w:val="20"/>
          <w:szCs w:val="20"/>
          <w:lang w:eastAsia="pt-PT"/>
        </w:rPr>
        <w:t>e</w:t>
      </w:r>
      <w:r w:rsidR="005D49C2">
        <w:rPr>
          <w:rFonts w:ascii="Verdana" w:eastAsia="Times New Roman" w:hAnsi="Verdana" w:cs="Segoe UI"/>
          <w:sz w:val="20"/>
          <w:szCs w:val="20"/>
          <w:lang w:eastAsia="pt-PT"/>
        </w:rPr>
        <w:t xml:space="preserve"> </w:t>
      </w:r>
      <w:r w:rsidR="001829B3">
        <w:rPr>
          <w:rFonts w:ascii="Verdana" w:eastAsia="Times New Roman" w:hAnsi="Verdana" w:cs="Segoe UI"/>
          <w:sz w:val="20"/>
          <w:szCs w:val="20"/>
          <w:lang w:eastAsia="pt-PT"/>
        </w:rPr>
        <w:t>Serviços Prisionais, no Instituto Nacional de Medicina Legal e Ciência Forenses, I.P. e no Instituto de Gestão Financeira e Equipamentos da Justiça, I.P.</w:t>
      </w:r>
    </w:p>
    <w:p w:rsidR="00377F04" w:rsidRPr="005A6DD2" w:rsidRDefault="00377F04" w:rsidP="005A6DD2">
      <w:pPr>
        <w:pStyle w:val="PargrafodaLista"/>
        <w:numPr>
          <w:ilvl w:val="0"/>
          <w:numId w:val="2"/>
        </w:numPr>
        <w:shd w:val="clear" w:color="auto" w:fill="FFFFFF"/>
        <w:spacing w:after="100" w:afterAutospacing="1" w:line="360" w:lineRule="auto"/>
        <w:jc w:val="both"/>
        <w:rPr>
          <w:rFonts w:ascii="Verdana" w:eastAsia="Times New Roman" w:hAnsi="Verdana" w:cs="Segoe UI"/>
          <w:sz w:val="20"/>
          <w:szCs w:val="20"/>
          <w:lang w:eastAsia="pt-PT"/>
        </w:rPr>
      </w:pPr>
      <w:r>
        <w:rPr>
          <w:rFonts w:ascii="Verdana" w:eastAsia="Times New Roman" w:hAnsi="Verdana" w:cs="Segoe UI"/>
          <w:sz w:val="20"/>
          <w:szCs w:val="20"/>
          <w:lang w:eastAsia="pt-PT"/>
        </w:rPr>
        <w:t xml:space="preserve">Ora, por imposição do serviço, o signatário esteve a </w:t>
      </w:r>
      <w:r w:rsidR="0049155C">
        <w:rPr>
          <w:rFonts w:ascii="Verdana" w:eastAsia="Times New Roman" w:hAnsi="Verdana" w:cs="Segoe UI"/>
          <w:sz w:val="20"/>
          <w:szCs w:val="20"/>
          <w:lang w:eastAsia="pt-PT"/>
        </w:rPr>
        <w:t xml:space="preserve">trabalhar </w:t>
      </w:r>
      <w:r>
        <w:rPr>
          <w:rFonts w:ascii="Verdana" w:eastAsia="Times New Roman" w:hAnsi="Verdana" w:cs="Segoe UI"/>
          <w:sz w:val="20"/>
          <w:szCs w:val="20"/>
          <w:lang w:eastAsia="pt-PT"/>
        </w:rPr>
        <w:t>em _________________________________________________________________________________________________________________________.</w:t>
      </w:r>
    </w:p>
    <w:p w:rsidR="005A6DD2" w:rsidRDefault="005A6DD2" w:rsidP="005A6DD2">
      <w:pPr>
        <w:pStyle w:val="PargrafodaLista"/>
        <w:rPr>
          <w:rFonts w:ascii="Verdana" w:eastAsia="Times New Roman" w:hAnsi="Verdana" w:cs="Segoe UI"/>
          <w:sz w:val="20"/>
          <w:szCs w:val="20"/>
          <w:lang w:eastAsia="pt-PT"/>
        </w:rPr>
      </w:pPr>
    </w:p>
    <w:p w:rsidR="005D49C2" w:rsidRDefault="005D49C2" w:rsidP="005D49C2">
      <w:pPr>
        <w:spacing w:line="360" w:lineRule="auto"/>
        <w:ind w:left="3540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Assim, vem requerer a </w:t>
      </w:r>
      <w:proofErr w:type="spellStart"/>
      <w:r>
        <w:rPr>
          <w:rFonts w:ascii="Verdana" w:hAnsi="Verdana"/>
          <w:b/>
          <w:sz w:val="20"/>
        </w:rPr>
        <w:t>V.Exa.</w:t>
      </w:r>
      <w:proofErr w:type="spellEnd"/>
      <w:r>
        <w:rPr>
          <w:rFonts w:ascii="Verdana" w:hAnsi="Verdana"/>
          <w:b/>
          <w:sz w:val="20"/>
        </w:rPr>
        <w:t xml:space="preserve"> se digne ordenar que se proceda ao processamento e</w:t>
      </w:r>
      <w:r w:rsidR="0049155C">
        <w:rPr>
          <w:rFonts w:ascii="Verdana" w:hAnsi="Verdana"/>
          <w:b/>
          <w:sz w:val="20"/>
        </w:rPr>
        <w:t xml:space="preserve"> respetivo </w:t>
      </w:r>
      <w:r>
        <w:rPr>
          <w:rFonts w:ascii="Verdana" w:hAnsi="Verdana"/>
          <w:b/>
          <w:sz w:val="20"/>
        </w:rPr>
        <w:t xml:space="preserve">pagamento do suprarreferido dia </w:t>
      </w:r>
      <w:r w:rsidR="007032B4">
        <w:rPr>
          <w:rFonts w:ascii="Verdana" w:hAnsi="Verdana"/>
          <w:b/>
          <w:sz w:val="20"/>
          <w:u w:val="single"/>
        </w:rPr>
        <w:t>31</w:t>
      </w:r>
      <w:r w:rsidRPr="0049155C">
        <w:rPr>
          <w:rFonts w:ascii="Verdana" w:hAnsi="Verdana"/>
          <w:b/>
          <w:sz w:val="20"/>
          <w:u w:val="single"/>
        </w:rPr>
        <w:t xml:space="preserve"> de dezembro de 2021</w:t>
      </w:r>
      <w:r>
        <w:rPr>
          <w:rFonts w:ascii="Verdana" w:hAnsi="Verdana"/>
          <w:b/>
          <w:sz w:val="20"/>
        </w:rPr>
        <w:t>.</w:t>
      </w:r>
    </w:p>
    <w:p w:rsidR="005D49C2" w:rsidRDefault="005D49C2" w:rsidP="005D49C2">
      <w:pPr>
        <w:spacing w:line="360" w:lineRule="auto"/>
        <w:jc w:val="center"/>
        <w:rPr>
          <w:rFonts w:ascii="Verdana" w:hAnsi="Verdana"/>
          <w:sz w:val="20"/>
        </w:rPr>
      </w:pPr>
    </w:p>
    <w:p w:rsidR="005D49C2" w:rsidRDefault="005D49C2" w:rsidP="005D49C2">
      <w:pPr>
        <w:spacing w:line="360" w:lineRule="auto"/>
        <w:jc w:val="center"/>
        <w:rPr>
          <w:rFonts w:ascii="Verdana" w:hAnsi="Verdana"/>
          <w:sz w:val="20"/>
        </w:rPr>
      </w:pPr>
      <w:r w:rsidRPr="008A1DAE">
        <w:rPr>
          <w:rFonts w:ascii="Verdana" w:hAnsi="Verdana"/>
          <w:sz w:val="20"/>
        </w:rPr>
        <w:t>Pede deferimento</w:t>
      </w:r>
    </w:p>
    <w:p w:rsidR="005D49C2" w:rsidRDefault="005D49C2" w:rsidP="005D49C2">
      <w:pPr>
        <w:spacing w:line="360" w:lineRule="auto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___________, ____________de 202</w:t>
      </w:r>
      <w:r w:rsidR="00564E25">
        <w:rPr>
          <w:rFonts w:ascii="Verdana" w:hAnsi="Verdana"/>
          <w:sz w:val="20"/>
        </w:rPr>
        <w:t>_</w:t>
      </w:r>
      <w:bookmarkStart w:id="0" w:name="_GoBack"/>
      <w:bookmarkEnd w:id="0"/>
    </w:p>
    <w:p w:rsidR="005D49C2" w:rsidRDefault="005D49C2" w:rsidP="005D49C2">
      <w:pPr>
        <w:spacing w:line="360" w:lineRule="auto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</w:t>
      </w:r>
    </w:p>
    <w:p w:rsidR="005D49C2" w:rsidRDefault="005D49C2" w:rsidP="005D49C2">
      <w:pPr>
        <w:spacing w:line="360" w:lineRule="auto"/>
        <w:jc w:val="center"/>
        <w:rPr>
          <w:rFonts w:ascii="Verdana" w:hAnsi="Verdana"/>
          <w:sz w:val="20"/>
        </w:rPr>
      </w:pPr>
    </w:p>
    <w:p w:rsidR="005D49C2" w:rsidRDefault="005D49C2" w:rsidP="005D49C2">
      <w:pPr>
        <w:spacing w:line="360" w:lineRule="auto"/>
        <w:jc w:val="center"/>
        <w:rPr>
          <w:rFonts w:ascii="Verdana" w:hAnsi="Verdana"/>
          <w:sz w:val="20"/>
        </w:rPr>
      </w:pPr>
    </w:p>
    <w:p w:rsidR="005A6DD2" w:rsidRDefault="005A6DD2" w:rsidP="005A6DD2">
      <w:pPr>
        <w:pStyle w:val="PargrafodaLista"/>
        <w:rPr>
          <w:rFonts w:ascii="Verdana" w:eastAsia="Times New Roman" w:hAnsi="Verdana" w:cs="Segoe UI"/>
          <w:sz w:val="20"/>
          <w:szCs w:val="20"/>
          <w:lang w:eastAsia="pt-PT"/>
        </w:rPr>
      </w:pPr>
    </w:p>
    <w:p w:rsidR="005A6DD2" w:rsidRPr="005A6DD2" w:rsidRDefault="005A6DD2" w:rsidP="005A6DD2">
      <w:pPr>
        <w:pStyle w:val="PargrafodaLista"/>
        <w:rPr>
          <w:rFonts w:ascii="Verdana" w:eastAsia="Times New Roman" w:hAnsi="Verdana" w:cs="Segoe UI"/>
          <w:sz w:val="20"/>
          <w:szCs w:val="20"/>
          <w:lang w:eastAsia="pt-PT"/>
        </w:rPr>
      </w:pPr>
    </w:p>
    <w:p w:rsidR="0095330F" w:rsidRDefault="0095330F"/>
    <w:p w:rsidR="0095330F" w:rsidRDefault="0095330F"/>
    <w:sectPr w:rsidR="009533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80748C"/>
    <w:multiLevelType w:val="hybridMultilevel"/>
    <w:tmpl w:val="AE2C7C9A"/>
    <w:lvl w:ilvl="0" w:tplc="840EA0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854C33"/>
    <w:multiLevelType w:val="multilevel"/>
    <w:tmpl w:val="153AC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30F"/>
    <w:rsid w:val="00115CA7"/>
    <w:rsid w:val="001829B3"/>
    <w:rsid w:val="001832EB"/>
    <w:rsid w:val="00276C41"/>
    <w:rsid w:val="00377F04"/>
    <w:rsid w:val="00414621"/>
    <w:rsid w:val="0049155C"/>
    <w:rsid w:val="00564E25"/>
    <w:rsid w:val="005A53AD"/>
    <w:rsid w:val="005A6DD2"/>
    <w:rsid w:val="005D49C2"/>
    <w:rsid w:val="006E7EAD"/>
    <w:rsid w:val="007032B4"/>
    <w:rsid w:val="007F28E7"/>
    <w:rsid w:val="0095330F"/>
    <w:rsid w:val="00E50ED2"/>
    <w:rsid w:val="00EC3F18"/>
    <w:rsid w:val="00F521D7"/>
    <w:rsid w:val="00FB26C0"/>
    <w:rsid w:val="00FF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6D01E"/>
  <w15:chartTrackingRefBased/>
  <w15:docId w15:val="{C83E0DAA-683E-444A-8EE5-1FF8236A5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ter"/>
    <w:uiPriority w:val="9"/>
    <w:qFormat/>
    <w:rsid w:val="009533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95330F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95330F"/>
    <w:rPr>
      <w:color w:val="0000FF"/>
      <w:u w:val="single"/>
    </w:rPr>
  </w:style>
  <w:style w:type="character" w:customStyle="1" w:styleId="posted-on">
    <w:name w:val="posted-on"/>
    <w:basedOn w:val="Tipodeletrapredefinidodopargrafo"/>
    <w:rsid w:val="0095330F"/>
  </w:style>
  <w:style w:type="character" w:customStyle="1" w:styleId="byline">
    <w:name w:val="byline"/>
    <w:basedOn w:val="Tipodeletrapredefinidodopargrafo"/>
    <w:rsid w:val="0095330F"/>
  </w:style>
  <w:style w:type="character" w:customStyle="1" w:styleId="author">
    <w:name w:val="author"/>
    <w:basedOn w:val="Tipodeletrapredefinidodopargrafo"/>
    <w:rsid w:val="0095330F"/>
  </w:style>
  <w:style w:type="paragraph" w:styleId="NormalWeb">
    <w:name w:val="Normal (Web)"/>
    <w:basedOn w:val="Normal"/>
    <w:uiPriority w:val="99"/>
    <w:semiHidden/>
    <w:unhideWhenUsed/>
    <w:rsid w:val="00953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95330F"/>
    <w:rPr>
      <w:b/>
      <w:bCs/>
    </w:rPr>
  </w:style>
  <w:style w:type="paragraph" w:styleId="PargrafodaLista">
    <w:name w:val="List Paragraph"/>
    <w:basedOn w:val="Normal"/>
    <w:uiPriority w:val="34"/>
    <w:qFormat/>
    <w:rsid w:val="0095330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1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enfermagemeasleis.pt/2021/12/23/tolerancia-de-ponto-nos-dias-24-e-31-de-dezembr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558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02_Minuta_Tol_ponto_31DEZ2021.docx</dc:subject>
  <dc:creator>Diamantino Pereira</dc:creator>
  <cp:keywords/>
  <dc:description/>
  <cp:lastModifiedBy>Diamantino Pereira</cp:lastModifiedBy>
  <cp:revision>6</cp:revision>
  <dcterms:created xsi:type="dcterms:W3CDTF">2021-12-30T08:23:00Z</dcterms:created>
  <dcterms:modified xsi:type="dcterms:W3CDTF">2021-12-30T11:58:00Z</dcterms:modified>
</cp:coreProperties>
</file>